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847" w:rsidRPr="00C04269" w:rsidRDefault="002D0847" w:rsidP="006B3F49">
      <w:pPr>
        <w:jc w:val="center"/>
        <w:rPr>
          <w:b/>
          <w:sz w:val="24"/>
          <w:szCs w:val="24"/>
        </w:rPr>
      </w:pPr>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101ED7">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101ED7">
        <w:rPr>
          <w:b/>
          <w:sz w:val="24"/>
          <w:szCs w:val="24"/>
        </w:rPr>
        <w:t>контроля</w:t>
      </w:r>
    </w:p>
    <w:tbl>
      <w:tblPr>
        <w:tblStyle w:val="a3"/>
        <w:tblW w:w="15134" w:type="dxa"/>
        <w:tblLook w:val="04A0" w:firstRow="1" w:lastRow="0" w:firstColumn="1" w:lastColumn="0" w:noHBand="0" w:noVBand="1"/>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0" w:name="dst100063"/>
            <w:bookmarkEnd w:id="0"/>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1" w:name="dst101118"/>
            <w:bookmarkEnd w:id="1"/>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2" w:name="dst244"/>
            <w:bookmarkEnd w:id="2"/>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3" w:name="dst245"/>
            <w:bookmarkEnd w:id="3"/>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4" w:name="dst246"/>
            <w:bookmarkEnd w:id="4"/>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100011"/>
            <w:bookmarkEnd w:id="5"/>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2"/>
            <w:bookmarkEnd w:id="6"/>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3"/>
            <w:bookmarkEnd w:id="7"/>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4"/>
            <w:bookmarkEnd w:id="8"/>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5"/>
            <w:bookmarkEnd w:id="9"/>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547"/>
            <w:bookmarkEnd w:id="10"/>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017"/>
            <w:bookmarkEnd w:id="11"/>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8"/>
            <w:bookmarkEnd w:id="12"/>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9"/>
            <w:bookmarkEnd w:id="13"/>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4" w:name="dst18"/>
            <w:bookmarkEnd w:id="14"/>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5" w:name="dst50"/>
            <w:bookmarkEnd w:id="15"/>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6" w:name="dst1"/>
            <w:bookmarkStart w:id="17" w:name="dst2"/>
            <w:bookmarkEnd w:id="16"/>
            <w:bookmarkEnd w:id="17"/>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8" w:name="dst100253"/>
            <w:bookmarkEnd w:id="18"/>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19" w:name="dst133"/>
            <w:bookmarkEnd w:id="19"/>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00175"/>
            <w:bookmarkEnd w:id="20"/>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243"/>
            <w:bookmarkEnd w:id="21"/>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15"/>
            <w:bookmarkEnd w:id="22"/>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3" w:name="dst116"/>
            <w:bookmarkEnd w:id="23"/>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4" w:name="dst100061"/>
            <w:bookmarkEnd w:id="24"/>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2"/>
            <w:bookmarkEnd w:id="25"/>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188"/>
            <w:bookmarkStart w:id="27" w:name="dst100189"/>
            <w:bookmarkEnd w:id="26"/>
            <w:bookmarkEnd w:id="27"/>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7C6C29">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8" w:name="dst100154"/>
            <w:bookmarkEnd w:id="28"/>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29" w:name="dst96"/>
            <w:bookmarkStart w:id="30" w:name="dst97"/>
            <w:bookmarkEnd w:id="29"/>
            <w:bookmarkEnd w:id="30"/>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1" w:name="dst57"/>
            <w:bookmarkEnd w:id="31"/>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2" w:name="dst58"/>
            <w:bookmarkEnd w:id="32"/>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3" w:name="dst59"/>
            <w:bookmarkEnd w:id="33"/>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4" w:name="dst100138"/>
            <w:bookmarkEnd w:id="34"/>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5" w:name="dst60"/>
            <w:bookmarkEnd w:id="35"/>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6" w:name="dst101057"/>
            <w:bookmarkEnd w:id="36"/>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7" w:name="dst100838"/>
            <w:bookmarkEnd w:id="37"/>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9"/>
            <w:bookmarkEnd w:id="38"/>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39" w:name="dst101058"/>
            <w:bookmarkEnd w:id="39"/>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0" w:name="dst326"/>
            <w:bookmarkEnd w:id="40"/>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1" w:name="dst1221"/>
            <w:bookmarkEnd w:id="41"/>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2" w:name="dst100841"/>
            <w:bookmarkEnd w:id="42"/>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621"/>
            <w:bookmarkEnd w:id="43"/>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391"/>
            <w:bookmarkEnd w:id="44"/>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2"/>
            <w:bookmarkEnd w:id="45"/>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97736C" w:rsidRPr="00C04269" w:rsidTr="00AD36A7">
        <w:tc>
          <w:tcPr>
            <w:tcW w:w="15134" w:type="dxa"/>
            <w:gridSpan w:val="3"/>
          </w:tcPr>
          <w:p w:rsidR="0097736C" w:rsidRPr="00C04269" w:rsidRDefault="0097736C" w:rsidP="00423C52">
            <w:pPr>
              <w:spacing w:before="120" w:after="120"/>
              <w:ind w:firstLine="544"/>
              <w:jc w:val="center"/>
              <w:rPr>
                <w:rFonts w:eastAsia="Times New Roman"/>
                <w:sz w:val="24"/>
                <w:szCs w:val="24"/>
                <w:lang w:eastAsia="ru-RU"/>
              </w:rPr>
            </w:pPr>
            <w:hyperlink r:id="rId7" w:history="1">
              <w:r w:rsidRPr="009F1749">
                <w:rPr>
                  <w:rStyle w:val="1"/>
                  <w:rFonts w:eastAsia="Calibri"/>
                  <w:b/>
                  <w:color w:val="auto"/>
                  <w:spacing w:val="0"/>
                </w:rPr>
                <w:t xml:space="preserve">Федеральный закон от 31.07.2020 N 248-ФЗ </w:t>
              </w:r>
              <w:r w:rsidR="00423C52">
                <w:rPr>
                  <w:rStyle w:val="1"/>
                  <w:rFonts w:eastAsia="Calibri"/>
                  <w:b/>
                  <w:color w:val="auto"/>
                  <w:spacing w:val="0"/>
                </w:rPr>
                <w:t>«</w:t>
              </w:r>
              <w:r w:rsidRPr="009F1749">
                <w:rPr>
                  <w:rStyle w:val="1"/>
                  <w:rFonts w:eastAsia="Calibri"/>
                  <w:b/>
                  <w:color w:val="auto"/>
                  <w:spacing w:val="0"/>
                </w:rPr>
                <w:t>О государственном контроле (надзоре) и муниципальном контроле в Российской Федерации</w:t>
              </w:r>
              <w:r w:rsidR="00423C52">
                <w:rPr>
                  <w:rStyle w:val="1"/>
                  <w:rFonts w:eastAsia="Calibri"/>
                  <w:b/>
                  <w:color w:val="auto"/>
                  <w:spacing w:val="0"/>
                </w:rPr>
                <w:t>»</w:t>
              </w:r>
            </w:hyperlink>
          </w:p>
        </w:tc>
      </w:tr>
      <w:tr w:rsidR="0097736C" w:rsidRPr="0097736C" w:rsidTr="00955797">
        <w:tc>
          <w:tcPr>
            <w:tcW w:w="540" w:type="dxa"/>
          </w:tcPr>
          <w:p w:rsidR="0097736C" w:rsidRPr="0097736C" w:rsidRDefault="0097736C" w:rsidP="0097736C">
            <w:pPr>
              <w:shd w:val="clear" w:color="auto" w:fill="FFFFFF"/>
              <w:jc w:val="both"/>
              <w:rPr>
                <w:rFonts w:eastAsia="Times New Roman"/>
                <w:sz w:val="24"/>
                <w:szCs w:val="24"/>
                <w:lang w:eastAsia="ru-RU"/>
              </w:rPr>
            </w:pPr>
            <w:r>
              <w:rPr>
                <w:rFonts w:eastAsia="Times New Roman"/>
                <w:sz w:val="24"/>
                <w:szCs w:val="24"/>
                <w:lang w:eastAsia="ru-RU"/>
              </w:rPr>
              <w:t>54</w:t>
            </w:r>
          </w:p>
        </w:tc>
        <w:tc>
          <w:tcPr>
            <w:tcW w:w="2403" w:type="dxa"/>
          </w:tcPr>
          <w:p w:rsidR="0097736C" w:rsidRPr="0097736C" w:rsidRDefault="0097736C" w:rsidP="0097736C">
            <w:pPr>
              <w:pStyle w:val="2"/>
              <w:shd w:val="clear" w:color="auto" w:fill="auto"/>
              <w:spacing w:before="0" w:after="0" w:line="240" w:lineRule="auto"/>
              <w:jc w:val="left"/>
              <w:rPr>
                <w:lang w:eastAsia="ru-RU"/>
              </w:rPr>
            </w:pPr>
            <w:r w:rsidRPr="0097736C">
              <w:rPr>
                <w:rStyle w:val="1"/>
                <w:color w:val="auto"/>
                <w:spacing w:val="0"/>
              </w:rPr>
              <w:t>статья 31</w:t>
            </w:r>
          </w:p>
        </w:tc>
        <w:tc>
          <w:tcPr>
            <w:tcW w:w="12191" w:type="dxa"/>
          </w:tcPr>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Статья 31. Контролируемые лица</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w:t>
            </w:r>
            <w:r w:rsidRPr="0097736C">
              <w:rPr>
                <w:rFonts w:eastAsia="Times New Roman"/>
                <w:sz w:val="24"/>
                <w:szCs w:val="24"/>
                <w:lang w:eastAsia="ru-RU"/>
              </w:rPr>
              <w:lastRenderedPageBreak/>
              <w:t>муниципальному контролю.</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2. В целях настоящего Федерального закона:</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8" w:anchor="dst100168" w:history="1">
              <w:r w:rsidRPr="0097736C">
                <w:rPr>
                  <w:rFonts w:eastAsia="Times New Roman"/>
                  <w:sz w:val="24"/>
                  <w:szCs w:val="24"/>
                  <w:lang w:eastAsia="ru-RU"/>
                </w:rPr>
                <w:t>статьей 16</w:t>
              </w:r>
            </w:hyperlink>
            <w:r w:rsidRPr="0097736C">
              <w:rPr>
                <w:rFonts w:eastAsia="Times New Roman"/>
                <w:sz w:val="24"/>
                <w:szCs w:val="24"/>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(в ред. Федерального </w:t>
            </w:r>
            <w:hyperlink r:id="rId9" w:anchor="dst103687" w:history="1">
              <w:r w:rsidRPr="0097736C">
                <w:rPr>
                  <w:rFonts w:eastAsia="Times New Roman"/>
                  <w:sz w:val="24"/>
                  <w:szCs w:val="24"/>
                  <w:lang w:eastAsia="ru-RU"/>
                </w:rPr>
                <w:t>закона</w:t>
              </w:r>
            </w:hyperlink>
            <w:r w:rsidRPr="0097736C">
              <w:rPr>
                <w:rFonts w:eastAsia="Times New Roman"/>
                <w:sz w:val="24"/>
                <w:szCs w:val="24"/>
                <w:lang w:eastAsia="ru-RU"/>
              </w:rPr>
              <w:t> от 11.06.2021 N 170-ФЗ)</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(см. текст в предыдущей </w:t>
            </w:r>
            <w:hyperlink r:id="rId10" w:history="1">
              <w:r w:rsidRPr="0097736C">
                <w:rPr>
                  <w:rFonts w:eastAsia="Times New Roman"/>
                  <w:sz w:val="24"/>
                  <w:szCs w:val="24"/>
                  <w:lang w:eastAsia="ru-RU"/>
                </w:rPr>
                <w:t>редакции</w:t>
              </w:r>
            </w:hyperlink>
            <w:r w:rsidRPr="0097736C">
              <w:rPr>
                <w:rFonts w:eastAsia="Times New Roman"/>
                <w:sz w:val="24"/>
                <w:szCs w:val="24"/>
                <w:lang w:eastAsia="ru-RU"/>
              </w:rPr>
              <w:t>)</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7736C" w:rsidRPr="00C04269" w:rsidRDefault="0097736C" w:rsidP="006B3F49">
            <w:pPr>
              <w:shd w:val="clear" w:color="auto" w:fill="FFFFFF"/>
              <w:ind w:firstLine="547"/>
              <w:jc w:val="both"/>
              <w:rPr>
                <w:rFonts w:eastAsia="Times New Roman"/>
                <w:sz w:val="24"/>
                <w:szCs w:val="24"/>
                <w:lang w:eastAsia="ru-RU"/>
              </w:rPr>
            </w:pPr>
          </w:p>
        </w:tc>
      </w:tr>
      <w:tr w:rsidR="00423C52" w:rsidRPr="0097736C" w:rsidTr="00955797">
        <w:tc>
          <w:tcPr>
            <w:tcW w:w="540" w:type="dxa"/>
          </w:tcPr>
          <w:p w:rsidR="00423C52" w:rsidRDefault="00423C52" w:rsidP="0097736C">
            <w:pPr>
              <w:shd w:val="clear" w:color="auto" w:fill="FFFFFF"/>
              <w:jc w:val="both"/>
              <w:rPr>
                <w:rFonts w:eastAsia="Times New Roman"/>
                <w:sz w:val="24"/>
                <w:szCs w:val="24"/>
                <w:lang w:eastAsia="ru-RU"/>
              </w:rPr>
            </w:pPr>
            <w:r>
              <w:rPr>
                <w:rFonts w:eastAsia="Times New Roman"/>
                <w:sz w:val="24"/>
                <w:szCs w:val="24"/>
                <w:lang w:eastAsia="ru-RU"/>
              </w:rPr>
              <w:lastRenderedPageBreak/>
              <w:t>55</w:t>
            </w:r>
          </w:p>
        </w:tc>
        <w:tc>
          <w:tcPr>
            <w:tcW w:w="2403" w:type="dxa"/>
          </w:tcPr>
          <w:p w:rsidR="00423C52" w:rsidRPr="0097736C" w:rsidRDefault="00423C52" w:rsidP="0097736C">
            <w:pPr>
              <w:pStyle w:val="2"/>
              <w:shd w:val="clear" w:color="auto" w:fill="auto"/>
              <w:spacing w:before="0" w:after="0" w:line="240" w:lineRule="auto"/>
              <w:jc w:val="left"/>
              <w:rPr>
                <w:rStyle w:val="1"/>
                <w:color w:val="auto"/>
                <w:spacing w:val="0"/>
              </w:rPr>
            </w:pPr>
            <w:r>
              <w:rPr>
                <w:rStyle w:val="1"/>
                <w:color w:val="auto"/>
                <w:spacing w:val="0"/>
              </w:rPr>
              <w:t>статья 36</w:t>
            </w:r>
          </w:p>
        </w:tc>
        <w:tc>
          <w:tcPr>
            <w:tcW w:w="12191" w:type="dxa"/>
          </w:tcPr>
          <w:p w:rsidR="00423C52" w:rsidRPr="00423C52" w:rsidRDefault="00423C52" w:rsidP="00423C52">
            <w:pPr>
              <w:shd w:val="clear" w:color="auto" w:fill="FFFFFF"/>
              <w:jc w:val="both"/>
              <w:rPr>
                <w:rFonts w:eastAsia="Times New Roman"/>
                <w:sz w:val="24"/>
                <w:szCs w:val="24"/>
                <w:lang w:eastAsia="ru-RU"/>
              </w:rPr>
            </w:pPr>
            <w:r w:rsidRPr="00423C52">
              <w:rPr>
                <w:rFonts w:eastAsia="Times New Roman"/>
                <w:sz w:val="24"/>
                <w:szCs w:val="24"/>
                <w:lang w:eastAsia="ru-RU"/>
              </w:rPr>
              <w:t>Статья 36. Права контролируемых лиц</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Контролируемое лицо при осуществлении государственного контроля (надзора) и муниципального контроля имеет право:</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w:t>
            </w:r>
            <w:bookmarkStart w:id="46" w:name="_GoBack"/>
            <w:bookmarkEnd w:id="46"/>
            <w:r w:rsidRPr="00423C52">
              <w:rPr>
                <w:rFonts w:eastAsia="Times New Roman"/>
                <w:sz w:val="24"/>
                <w:szCs w:val="24"/>
                <w:lang w:eastAsia="ru-RU"/>
              </w:rPr>
              <w:t>действие контрольных (надзорных) органов с контролируемыми лицами;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 xml:space="preserve">4) знакомиться с результатами контрольных (надзорных) мероприятий, контрольных (надзорных) действий, </w:t>
            </w:r>
            <w:r w:rsidRPr="00423C52">
              <w:rPr>
                <w:rFonts w:eastAsia="Times New Roman"/>
                <w:sz w:val="24"/>
                <w:szCs w:val="24"/>
                <w:lang w:eastAsia="ru-RU"/>
              </w:rPr>
              <w:lastRenderedPageBreak/>
              <w:t>сообщать контрольному (надзорному) органу о своем согласии или несогласии с ними;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23C52" w:rsidRPr="0097736C" w:rsidRDefault="00423C52" w:rsidP="0097736C">
            <w:pPr>
              <w:shd w:val="clear" w:color="auto" w:fill="FFFFFF"/>
              <w:ind w:firstLine="547"/>
              <w:jc w:val="both"/>
              <w:rPr>
                <w:rFonts w:eastAsia="Times New Roman"/>
                <w:sz w:val="24"/>
                <w:szCs w:val="24"/>
                <w:lang w:eastAsia="ru-RU"/>
              </w:rPr>
            </w:pPr>
          </w:p>
        </w:tc>
      </w:tr>
    </w:tbl>
    <w:p w:rsidR="00936F7D" w:rsidRPr="0097736C" w:rsidRDefault="00936F7D" w:rsidP="0097736C">
      <w:pPr>
        <w:shd w:val="clear" w:color="auto" w:fill="FFFFFF"/>
        <w:ind w:firstLine="547"/>
        <w:jc w:val="both"/>
        <w:rPr>
          <w:rFonts w:eastAsia="Times New Roman"/>
          <w:sz w:val="24"/>
          <w:szCs w:val="24"/>
          <w:lang w:eastAsia="ru-RU"/>
        </w:rPr>
      </w:pPr>
    </w:p>
    <w:p w:rsidR="000A4142" w:rsidRPr="00C04269" w:rsidRDefault="000A4142" w:rsidP="006B3F49">
      <w:pPr>
        <w:rPr>
          <w:sz w:val="24"/>
          <w:szCs w:val="24"/>
        </w:rPr>
      </w:pPr>
    </w:p>
    <w:sectPr w:rsidR="000A4142" w:rsidRPr="00C04269" w:rsidSect="006B3F49">
      <w:headerReference w:type="default" r:id="rId11"/>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5E" w:rsidRDefault="00CE745E" w:rsidP="006B3F49">
      <w:r>
        <w:separator/>
      </w:r>
    </w:p>
  </w:endnote>
  <w:endnote w:type="continuationSeparator" w:id="0">
    <w:p w:rsidR="00CE745E" w:rsidRDefault="00CE745E"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5E" w:rsidRDefault="00CE745E" w:rsidP="006B3F49">
      <w:r>
        <w:separator/>
      </w:r>
    </w:p>
  </w:footnote>
  <w:footnote w:type="continuationSeparator" w:id="0">
    <w:p w:rsidR="00CE745E" w:rsidRDefault="00CE745E" w:rsidP="006B3F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423C52">
          <w:rPr>
            <w:noProof/>
            <w:sz w:val="24"/>
            <w:szCs w:val="24"/>
          </w:rPr>
          <w:t>41</w:t>
        </w:r>
        <w:r w:rsidRPr="006B3F49">
          <w:rPr>
            <w:sz w:val="24"/>
            <w:szCs w:val="24"/>
          </w:rPr>
          <w:fldChar w:fldCharType="end"/>
        </w:r>
      </w:p>
    </w:sdtContent>
  </w:sdt>
  <w:p w:rsidR="006B3F49" w:rsidRDefault="006B3F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01ED7"/>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3C52"/>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7736C"/>
    <w:rsid w:val="00984976"/>
    <w:rsid w:val="00992645"/>
    <w:rsid w:val="009A4AAC"/>
    <w:rsid w:val="009B0CC8"/>
    <w:rsid w:val="009F1749"/>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85C34"/>
    <w:rsid w:val="00C923EB"/>
    <w:rsid w:val="00CA1916"/>
    <w:rsid w:val="00CA2179"/>
    <w:rsid w:val="00CE745E"/>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9F91"/>
  <w15:docId w15:val="{399F4320-D767-4636-A3A6-F5AAC40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Normal (Web)"/>
    <w:basedOn w:val="a"/>
    <w:uiPriority w:val="99"/>
    <w:semiHidden/>
    <w:unhideWhenUsed/>
    <w:rsid w:val="0097736C"/>
    <w:pPr>
      <w:spacing w:before="100" w:beforeAutospacing="1" w:after="100" w:afterAutospacing="1"/>
    </w:pPr>
    <w:rPr>
      <w:rFonts w:eastAsia="Times New Roman"/>
      <w:sz w:val="24"/>
      <w:szCs w:val="24"/>
      <w:lang w:eastAsia="ru-RU"/>
    </w:rPr>
  </w:style>
  <w:style w:type="paragraph" w:customStyle="1" w:styleId="no-indent">
    <w:name w:val="no-indent"/>
    <w:basedOn w:val="a"/>
    <w:rsid w:val="0097736C"/>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463">
      <w:bodyDiv w:val="1"/>
      <w:marLeft w:val="0"/>
      <w:marRight w:val="0"/>
      <w:marTop w:val="0"/>
      <w:marBottom w:val="0"/>
      <w:divBdr>
        <w:top w:val="none" w:sz="0" w:space="0" w:color="auto"/>
        <w:left w:val="none" w:sz="0" w:space="0" w:color="auto"/>
        <w:bottom w:val="none" w:sz="0" w:space="0" w:color="auto"/>
        <w:right w:val="none" w:sz="0" w:space="0" w:color="auto"/>
      </w:divBdr>
      <w:divsChild>
        <w:div w:id="845556510">
          <w:marLeft w:val="0"/>
          <w:marRight w:val="0"/>
          <w:marTop w:val="0"/>
          <w:marBottom w:val="0"/>
          <w:divBdr>
            <w:top w:val="none" w:sz="0" w:space="0" w:color="auto"/>
            <w:left w:val="none" w:sz="0" w:space="0" w:color="auto"/>
            <w:bottom w:val="none" w:sz="0" w:space="0" w:color="auto"/>
            <w:right w:val="none" w:sz="0" w:space="0" w:color="auto"/>
          </w:divBdr>
        </w:div>
        <w:div w:id="768891759">
          <w:marLeft w:val="0"/>
          <w:marRight w:val="0"/>
          <w:marTop w:val="0"/>
          <w:marBottom w:val="0"/>
          <w:divBdr>
            <w:top w:val="none" w:sz="0" w:space="0" w:color="auto"/>
            <w:left w:val="none" w:sz="0" w:space="0" w:color="auto"/>
            <w:bottom w:val="none" w:sz="0" w:space="0" w:color="auto"/>
            <w:right w:val="none" w:sz="0" w:space="0" w:color="auto"/>
          </w:divBdr>
        </w:div>
        <w:div w:id="1506747224">
          <w:marLeft w:val="0"/>
          <w:marRight w:val="0"/>
          <w:marTop w:val="0"/>
          <w:marBottom w:val="0"/>
          <w:divBdr>
            <w:top w:val="none" w:sz="0" w:space="0" w:color="auto"/>
            <w:left w:val="none" w:sz="0" w:space="0" w:color="auto"/>
            <w:bottom w:val="none" w:sz="0" w:space="0" w:color="auto"/>
            <w:right w:val="none" w:sz="0" w:space="0" w:color="auto"/>
          </w:divBdr>
        </w:div>
      </w:divsChild>
    </w:div>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81672276">
      <w:bodyDiv w:val="1"/>
      <w:marLeft w:val="0"/>
      <w:marRight w:val="0"/>
      <w:marTop w:val="0"/>
      <w:marBottom w:val="0"/>
      <w:divBdr>
        <w:top w:val="none" w:sz="0" w:space="0" w:color="auto"/>
        <w:left w:val="none" w:sz="0" w:space="0" w:color="auto"/>
        <w:bottom w:val="none" w:sz="0" w:space="0" w:color="auto"/>
        <w:right w:val="none" w:sz="0" w:space="0" w:color="auto"/>
      </w:divBdr>
      <w:divsChild>
        <w:div w:id="1720856538">
          <w:marLeft w:val="0"/>
          <w:marRight w:val="0"/>
          <w:marTop w:val="0"/>
          <w:marBottom w:val="0"/>
          <w:divBdr>
            <w:top w:val="none" w:sz="0" w:space="0" w:color="auto"/>
            <w:left w:val="none" w:sz="0" w:space="0" w:color="auto"/>
            <w:bottom w:val="none" w:sz="0" w:space="0" w:color="auto"/>
            <w:right w:val="none" w:sz="0" w:space="0" w:color="auto"/>
          </w:divBdr>
        </w:div>
      </w:divsChild>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01/372c7587f084ad1b77c9c2e38c2140a06c9b7ae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8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358750/7cd8f888d3255a4cfd56dc6aff617cce92657ad6/" TargetMode="External"/><Relationship Id="rId4" Type="http://schemas.openxmlformats.org/officeDocument/2006/relationships/webSettings" Target="webSettings.xml"/><Relationship Id="rId9" Type="http://schemas.openxmlformats.org/officeDocument/2006/relationships/hyperlink" Target="http://www.consultant.ru/document/cons_doc_LAW_386909/01e9ff03890d5d9fd7cd5e3922826572c04cf2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2860-9937-4756-8690-08B00198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17291</Words>
  <Characters>98565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Кинчур Татьяна</cp:lastModifiedBy>
  <cp:revision>7</cp:revision>
  <dcterms:created xsi:type="dcterms:W3CDTF">2016-12-26T06:37:00Z</dcterms:created>
  <dcterms:modified xsi:type="dcterms:W3CDTF">2022-05-11T04:36:00Z</dcterms:modified>
</cp:coreProperties>
</file>